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RPr="00D21706" w:rsidTr="00D21706">
        <w:tc>
          <w:tcPr>
            <w:tcW w:w="4785" w:type="dxa"/>
          </w:tcPr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신(新) 증치세 발표 사용 관련 문제에 대한 공고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2014년 제43호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증치세 발표 관리를 더욱 규범화하고, 영업세의 증치세 전환에 따른 업무 수요를 만족시키기 위해, 세무총국은 증치세 전용발표(이하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전용발표)와 증치세 보통발표(이하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보통발표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)의 개정을 결정하였다. 또한, 전용발표 및 화물운수업 증치세 전용발표(이하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화물운수전용발표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)의 위조방지 기술수준을 향상시켰다. 신(新) 증치세 발표를 사용하는 것과 관련한 유관 문제에 대하여 다음과 같이 공고한다.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발표코드의 조정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발표코드 중 8번째 숫자는 발표의 종류를 대표한다. 화물운수전용발표는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7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에서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로, 보통발표는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에서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조정한다.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발표 내용의 조정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전용발표 중 일부 란의 내용을 조정한다.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화물판매단위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란과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화물구매단위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란은 각각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판매처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로,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 또는 과세노무 명칭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 또는 과세 노무, 서비스 명칭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수정한다. 발표 하단의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화물판매처: (날인)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판매처: (날인)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으로 수정한다. 전용발표 연차（聯次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）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의 사용용도도 상응하게 조정한다. 제1련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기장련: 화물판매처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기장련: 판매처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으로, 제2련 공제련 용도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화물구매처 공제증빙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 공제증빙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수정한다. 제3련 발표련 용도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수정한다. 조정 이후의 전용발표 견본은 첨부문건 1에서 확인한다.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보통발표 중 일부 란의 내용을 조정한다.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화물판매단위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란과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화물구매단위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란은 각각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판매처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로,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 또는 과세노무 명칭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란은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 또는 과세노무, 서비스 명칭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수정한다. 발표 하단의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화물판매단위: (날인)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은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판매처: (날인)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 수정한다. 발표 연차 용도 역시 상응하게 조정한다. 제1련의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기장련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: 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화물판매처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기장련: 판매처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으로, 제1련의 발표련 용도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화물구매처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을 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구매처 기장증빙</w:t>
            </w:r>
            <w:r w:rsidRPr="00340335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으로 수정한다. 조정 후의 보통발표 견본은 첨부문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건2에서 확인한다.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전용발표와 화물운수전용발표의 위조방지 기술수준을 향상시킨다.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발표 감독인감과 평행선 축소 문자 위조방지의 특징을 취소한다. 유보되어 남아있는 위조방지 특징에 기초하여, 광각 변색 환상섬유 등 위조방지 특징을 추가한다.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4. 기타 유관 문제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2014년 8월 1일부터 신(新) 전용발표, 화물운수전용발표 및 보통발표를 사용한다. 구(舊) 전용발표, 화물운수전용발표 및 보통발표는 임시적으로 계속 사용한다.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이를 특별히 공고한다.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첨부문건：</w:t>
            </w:r>
          </w:p>
          <w:p w:rsidR="00DE181F" w:rsidRPr="005C40B2" w:rsidRDefault="00DE181F" w:rsidP="005C40B2">
            <w:pPr>
              <w:pStyle w:val="a8"/>
              <w:numPr>
                <w:ilvl w:val="0"/>
                <w:numId w:val="1"/>
              </w:numPr>
              <w:wordWrap w:val="0"/>
              <w:autoSpaceDN w:val="0"/>
              <w:adjustRightInd w:val="0"/>
              <w:snapToGrid w:val="0"/>
              <w:spacing w:line="290" w:lineRule="atLeast"/>
              <w:ind w:leftChars="0" w:firstLineChars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C40B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 전용발표 견본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7" w:history="1">
              <w:r w:rsidRPr="00340335">
                <w:rPr>
                  <w:rStyle w:val="a6"/>
                  <w:rFonts w:ascii="한컴바탕" w:eastAsia="한컴바탕" w:hAnsi="한컴바탕" w:cs="한컴바탕"/>
                  <w:szCs w:val="21"/>
                </w:rPr>
                <w:t>http://www.chinatax.gov.cn/n2226/n2271/n2272/c753182/part/753201.doc</w:t>
              </w:r>
            </w:hyperlink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2. 증치세 보통발표 견본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8" w:history="1">
              <w:r w:rsidRPr="00340335">
                <w:rPr>
                  <w:rStyle w:val="a6"/>
                  <w:rFonts w:ascii="한컴바탕" w:eastAsia="한컴바탕" w:hAnsi="한컴바탕" w:cs="한컴바탕"/>
                  <w:szCs w:val="21"/>
                  <w:lang w:eastAsia="ko-KR"/>
                </w:rPr>
                <w:t>http://www.chinatax.gov.cn/n2226/n2271/n2272/c753182/part/753202.doc</w:t>
              </w:r>
            </w:hyperlink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3.</w:t>
            </w:r>
            <w:r w:rsidR="005C40B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증치세 전용발표 및 화물운수업 증치세 전용발표부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9" w:history="1">
              <w:r w:rsidRPr="00340335">
                <w:rPr>
                  <w:rStyle w:val="a6"/>
                  <w:rFonts w:ascii="한컴바탕" w:eastAsia="한컴바탕" w:hAnsi="한컴바탕" w:cs="한컴바탕"/>
                  <w:szCs w:val="21"/>
                </w:rPr>
                <w:t>http://www.chinatax.gov.cn/n2226/n2271/n2272/c753182/part/753203.doc</w:t>
              </w:r>
            </w:hyperlink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40335">
              <w:rPr>
                <w:rFonts w:ascii="한컴바탕" w:eastAsia="한컴바탕" w:hAnsi="한컴바탕" w:cs="한컴바탕" w:hint="eastAsia"/>
                <w:szCs w:val="21"/>
              </w:rPr>
              <w:t>2014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340335">
              <w:rPr>
                <w:rFonts w:ascii="한컴바탕" w:eastAsia="한컴바탕" w:hAnsi="한컴바탕" w:cs="한컴바탕" w:hint="eastAsia"/>
                <w:szCs w:val="21"/>
              </w:rPr>
              <w:t>7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340335">
              <w:rPr>
                <w:rFonts w:ascii="한컴바탕" w:eastAsia="한컴바탕" w:hAnsi="한컴바탕" w:cs="한컴바탕" w:hint="eastAsia"/>
                <w:szCs w:val="21"/>
              </w:rPr>
              <w:t>8</w:t>
            </w:r>
            <w:r w:rsidRPr="0034033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  <w:p w:rsidR="00F67646" w:rsidRPr="00340335" w:rsidRDefault="00F67646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DE181F" w:rsidRDefault="00F67646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340335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97" w:left="20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340335">
              <w:rPr>
                <w:rFonts w:ascii="SimSun" w:eastAsia="SimSun" w:hAnsi="SimSun" w:hint="eastAsia"/>
                <w:b/>
                <w:sz w:val="26"/>
                <w:szCs w:val="26"/>
              </w:rPr>
              <w:t>关于启用新版增值税发票有关问题的公告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国家税务总局公告2014年第43号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E181F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rPr>
                <w:rFonts w:ascii="SimSun" w:hAnsi="SimSun" w:hint="eastAsia"/>
                <w:spacing w:val="6"/>
                <w:szCs w:val="21"/>
                <w:lang w:eastAsia="ko-KR"/>
              </w:rPr>
            </w:pPr>
            <w:r w:rsidRPr="00340335">
              <w:rPr>
                <w:rFonts w:ascii="SimSun" w:eastAsia="SimSun" w:hAnsi="SimSun" w:hint="eastAsia"/>
                <w:spacing w:val="6"/>
                <w:szCs w:val="21"/>
              </w:rPr>
              <w:t>为进一步规范增值税发票管理，满足营业税改征增值税工作需要，税务总局决定对增值税专用发票（以下简称专用发票）和增值税普通发票（以下简称普通发票）进行改版，同时提升专用发票和货物运输业增值税专用发票（以下简称货运专票）防伪技术水平。现将启用新版增值税发票有关问题公告如下：</w:t>
            </w:r>
          </w:p>
          <w:p w:rsidR="00340335" w:rsidRPr="00340335" w:rsidRDefault="00340335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rPr>
                <w:rFonts w:ascii="SimSun" w:hAnsi="SimSun"/>
                <w:spacing w:val="6"/>
                <w:szCs w:val="21"/>
                <w:lang w:eastAsia="ko-KR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一、发票代码的调整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发票代码第8位代表发票种类，货运专票由“7”调整为“2”，普通发票由“6”调整为“3”。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二、发票内容的调整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（一）调整专用发票部分栏次内容，将“销货单位”栏和“购货单位”栏分别改为“销售方”和“购买方”，“货物或应税劳务名称”栏改为“货物或应税劳务、服务名称”，票尾的 “销货单位：（章）”改为“销售方：（章）”。专用发票联次用途也相应调整，将第一联“记帐联：销货方计帐凭证”改为“记账联：销售方记账凭证”，第二联抵扣联用途“购货方扣税凭证”改为“购买方扣税凭证”，第三联发票联用途“购货方计帐凭证”改为“购买方记账凭证”。调整后的专用发票票样见附件1。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（二）调整普通发票部分栏次内容，将“销货单位”栏和“购货单位”栏分别改为“销售方”和“购买方”，“货物或应税劳务名称”栏改为“货物或应税劳务、服务名称”，票尾的 “销货单位：（章）”改为“销售方：（章）”。发票联次用途也相应调整，将第一联“记账联：销货方计账凭证”改为“记账联：销售方记账凭证”，第二联发票联用途“购货方计账凭证”改为“购买方记账凭证”。调整后的普通</w:t>
            </w:r>
            <w:r w:rsidRPr="00340335">
              <w:rPr>
                <w:rFonts w:ascii="SimSun" w:eastAsia="SimSun" w:hAnsi="SimSun" w:hint="eastAsia"/>
                <w:szCs w:val="21"/>
              </w:rPr>
              <w:lastRenderedPageBreak/>
              <w:t>发票票样见附件2。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三、提升专用发票和货运专票防伪技术水平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取消发票监制章和双杠线微缩文字防伪特征。在保留部分防伪特征基础上，增加光角变色圆环纤维等防伪特征。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四、其他有关问题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pacing w:val="6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340335">
              <w:rPr>
                <w:rFonts w:ascii="SimSun" w:eastAsia="SimSun" w:hAnsi="SimSun" w:hint="eastAsia"/>
                <w:spacing w:val="6"/>
                <w:szCs w:val="21"/>
              </w:rPr>
              <w:t>自2014年8月1日起启用新版专用发票、货运专票和普通发票，老版专用发票、货运专票和普通发票暂继续使用。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特此公告。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</w:t>
            </w:r>
          </w:p>
          <w:p w:rsid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rPr>
                <w:rFonts w:ascii="SimSun" w:hAnsi="SimSun" w:hint="eastAsia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1.增值税专用发票票样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SimSun" w:eastAsia="SimSun" w:hAnsi="SimSun"/>
                <w:spacing w:val="-4"/>
                <w:szCs w:val="21"/>
              </w:rPr>
            </w:pPr>
            <w:hyperlink r:id="rId10" w:history="1">
              <w:r w:rsidRPr="00340335">
                <w:rPr>
                  <w:rStyle w:val="a6"/>
                  <w:rFonts w:ascii="SimSun" w:eastAsia="SimSun" w:hAnsi="SimSun"/>
                  <w:spacing w:val="-4"/>
                  <w:szCs w:val="21"/>
                </w:rPr>
                <w:t>http://www.chinatax.gov.cn/n2226/n2271/n2272/c753182/part/753201.doc</w:t>
              </w:r>
            </w:hyperlink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 xml:space="preserve">　　2.增值税普通发票票样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SimSun" w:eastAsia="SimSun" w:hAnsi="SimSun"/>
                <w:spacing w:val="-4"/>
                <w:szCs w:val="21"/>
              </w:rPr>
            </w:pPr>
            <w:hyperlink r:id="rId11" w:history="1">
              <w:r w:rsidRPr="00340335">
                <w:rPr>
                  <w:rStyle w:val="a6"/>
                  <w:rFonts w:ascii="SimSun" w:eastAsia="SimSun" w:hAnsi="SimSun"/>
                  <w:spacing w:val="-4"/>
                  <w:szCs w:val="21"/>
                </w:rPr>
                <w:t>http://www.chinatax.gov.cn/n2226/n2271/n2272/c753182/part/753202.doc</w:t>
              </w:r>
            </w:hyperlink>
          </w:p>
          <w:p w:rsidR="00DE181F" w:rsidRPr="00340335" w:rsidRDefault="00340335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E181F" w:rsidRPr="00340335">
              <w:rPr>
                <w:rFonts w:ascii="SimSun" w:eastAsia="SimSun" w:hAnsi="SimSun" w:hint="eastAsia"/>
                <w:szCs w:val="21"/>
              </w:rPr>
              <w:t xml:space="preserve">3.增值税专用发票和货物运输业增值税专用发票部 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SimSun" w:eastAsia="SimSun" w:hAnsi="SimSun"/>
                <w:spacing w:val="-4"/>
                <w:szCs w:val="21"/>
              </w:rPr>
            </w:pPr>
            <w:hyperlink r:id="rId12" w:history="1">
              <w:r w:rsidRPr="00340335">
                <w:rPr>
                  <w:rStyle w:val="a6"/>
                  <w:rFonts w:ascii="SimSun" w:eastAsia="SimSun" w:hAnsi="SimSun"/>
                  <w:spacing w:val="-4"/>
                  <w:szCs w:val="21"/>
                </w:rPr>
                <w:t>http://www.chinatax.gov.cn/n2226/n2271/n2272/c753182/part/753203.doc</w:t>
              </w:r>
            </w:hyperlink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DE181F" w:rsidRPr="00340335" w:rsidRDefault="00DE181F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340335">
              <w:rPr>
                <w:rFonts w:ascii="SimSun" w:eastAsia="SimSun" w:hAnsi="SimSun" w:hint="eastAsia"/>
                <w:szCs w:val="21"/>
              </w:rPr>
              <w:t>2014年7月8日</w:t>
            </w:r>
          </w:p>
          <w:p w:rsidR="00F67646" w:rsidRPr="00340335" w:rsidRDefault="00F67646" w:rsidP="0034033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  <w:lang w:eastAsia="ko-KR"/>
              </w:rPr>
            </w:pPr>
          </w:p>
        </w:tc>
      </w:tr>
    </w:tbl>
    <w:p w:rsidR="009B47F6" w:rsidRDefault="009B47F6" w:rsidP="00F67646">
      <w:pPr>
        <w:ind w:firstLine="420"/>
        <w:rPr>
          <w:lang w:eastAsia="ko-KR"/>
        </w:rPr>
      </w:pPr>
    </w:p>
    <w:sectPr w:rsidR="009B47F6" w:rsidSect="00F676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C82" w:rsidRDefault="000B0C82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0B0C82" w:rsidRDefault="000B0C82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C82" w:rsidRDefault="000B0C82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0B0C82" w:rsidRDefault="000B0C82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CEC"/>
    <w:multiLevelType w:val="hybridMultilevel"/>
    <w:tmpl w:val="14D219EC"/>
    <w:lvl w:ilvl="0" w:tplc="129C46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406C4"/>
    <w:rsid w:val="00077007"/>
    <w:rsid w:val="000942D1"/>
    <w:rsid w:val="00095AA9"/>
    <w:rsid w:val="000B0C82"/>
    <w:rsid w:val="000B7838"/>
    <w:rsid w:val="000F4E6D"/>
    <w:rsid w:val="001026FC"/>
    <w:rsid w:val="00171BCA"/>
    <w:rsid w:val="00176279"/>
    <w:rsid w:val="002220A9"/>
    <w:rsid w:val="00236679"/>
    <w:rsid w:val="002441FA"/>
    <w:rsid w:val="00300904"/>
    <w:rsid w:val="0032393A"/>
    <w:rsid w:val="00340335"/>
    <w:rsid w:val="003D0CB1"/>
    <w:rsid w:val="004F3AE9"/>
    <w:rsid w:val="004F5F00"/>
    <w:rsid w:val="005C40B2"/>
    <w:rsid w:val="005C46A8"/>
    <w:rsid w:val="005C62E3"/>
    <w:rsid w:val="005D2F0A"/>
    <w:rsid w:val="005E1A7A"/>
    <w:rsid w:val="005F7AEE"/>
    <w:rsid w:val="00622391"/>
    <w:rsid w:val="0062570F"/>
    <w:rsid w:val="006961E4"/>
    <w:rsid w:val="00696F05"/>
    <w:rsid w:val="006A0CA5"/>
    <w:rsid w:val="006F36E4"/>
    <w:rsid w:val="0070249C"/>
    <w:rsid w:val="00711B01"/>
    <w:rsid w:val="007350F9"/>
    <w:rsid w:val="007B6328"/>
    <w:rsid w:val="00873383"/>
    <w:rsid w:val="009350A4"/>
    <w:rsid w:val="0095250A"/>
    <w:rsid w:val="00992959"/>
    <w:rsid w:val="009B4262"/>
    <w:rsid w:val="009B47F6"/>
    <w:rsid w:val="00A23EBB"/>
    <w:rsid w:val="00A75FDB"/>
    <w:rsid w:val="00B7154D"/>
    <w:rsid w:val="00B77A92"/>
    <w:rsid w:val="00C02429"/>
    <w:rsid w:val="00C14F81"/>
    <w:rsid w:val="00C60950"/>
    <w:rsid w:val="00C66987"/>
    <w:rsid w:val="00CE0A6C"/>
    <w:rsid w:val="00CF1855"/>
    <w:rsid w:val="00D05A72"/>
    <w:rsid w:val="00D17378"/>
    <w:rsid w:val="00D21706"/>
    <w:rsid w:val="00D371FA"/>
    <w:rsid w:val="00D71B0B"/>
    <w:rsid w:val="00DA1477"/>
    <w:rsid w:val="00DE181F"/>
    <w:rsid w:val="00E70A2E"/>
    <w:rsid w:val="00E77709"/>
    <w:rsid w:val="00E97536"/>
    <w:rsid w:val="00EB41F7"/>
    <w:rsid w:val="00EF5241"/>
    <w:rsid w:val="00F629B2"/>
    <w:rsid w:val="00F67646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C40B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n2226/n2271/n2272/c753182/part/753202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tax.gov.cn/n2226/n2271/n2272/c753182/part/753201.doc" TargetMode="External"/><Relationship Id="rId12" Type="http://schemas.openxmlformats.org/officeDocument/2006/relationships/hyperlink" Target="http://www.chinatax.gov.cn/n2226/n2271/n2272/c753182/part/753203.do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natax.gov.cn/n2226/n2271/n2272/c753182/part/753202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inatax.gov.cn/n2226/n2271/n2272/c753182/part/753201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tax.gov.cn/n2226/n2271/n2272/c753182/part/753203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2014-08-01T01:28:00Z</dcterms:created>
  <dcterms:modified xsi:type="dcterms:W3CDTF">2014-08-01T01:38:00Z</dcterms:modified>
</cp:coreProperties>
</file>